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12" w:rsidRPr="005A7E80" w:rsidRDefault="009A0B12" w:rsidP="009A0B12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A7E80">
        <w:rPr>
          <w:b/>
          <w:sz w:val="24"/>
          <w:szCs w:val="24"/>
          <w:u w:val="single"/>
        </w:rPr>
        <w:t>BRIGG TOWN COUNCIL</w:t>
      </w:r>
    </w:p>
    <w:p w:rsidR="009A0B12" w:rsidRPr="005A7E80" w:rsidRDefault="009A0B12" w:rsidP="009A0B12">
      <w:pPr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STANDING COMMITTEES </w:t>
      </w:r>
      <w:proofErr w:type="gramStart"/>
      <w:r>
        <w:rPr>
          <w:b/>
          <w:sz w:val="24"/>
          <w:szCs w:val="24"/>
          <w:u w:val="single"/>
        </w:rPr>
        <w:t>-  DELEGATED</w:t>
      </w:r>
      <w:proofErr w:type="gramEnd"/>
      <w:r>
        <w:rPr>
          <w:b/>
          <w:sz w:val="24"/>
          <w:szCs w:val="24"/>
          <w:u w:val="single"/>
        </w:rPr>
        <w:t xml:space="preserve"> POWERS AND FUNCTIONS</w:t>
      </w:r>
    </w:p>
    <w:p w:rsidR="009A0B12" w:rsidRDefault="009A0B12" w:rsidP="009A0B12">
      <w:pPr>
        <w:ind w:hanging="720"/>
        <w:rPr>
          <w:sz w:val="24"/>
          <w:szCs w:val="24"/>
        </w:rPr>
      </w:pPr>
    </w:p>
    <w:p w:rsidR="009A0B12" w:rsidRDefault="009A0B12" w:rsidP="009A0B12">
      <w:pPr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POLICY COMMITTEE</w:t>
      </w:r>
      <w:r>
        <w:rPr>
          <w:sz w:val="24"/>
          <w:szCs w:val="24"/>
        </w:rPr>
        <w:tab/>
        <w:t>(</w:t>
      </w:r>
      <w:r>
        <w:rPr>
          <w:b/>
          <w:sz w:val="24"/>
          <w:szCs w:val="24"/>
        </w:rPr>
        <w:t xml:space="preserve">11 Members - Quorum of 4) </w:t>
      </w:r>
      <w:r>
        <w:rPr>
          <w:sz w:val="24"/>
          <w:szCs w:val="24"/>
        </w:rPr>
        <w:t xml:space="preserve"> </w:t>
      </w:r>
    </w:p>
    <w:p w:rsidR="009A0B12" w:rsidRDefault="009A0B12" w:rsidP="009A0B1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proofErr w:type="gramStart"/>
      <w:r w:rsidRPr="00F11CFC">
        <w:rPr>
          <w:sz w:val="24"/>
          <w:szCs w:val="24"/>
        </w:rPr>
        <w:t>Responsibility for the management and regular review of the</w:t>
      </w:r>
      <w:r>
        <w:rPr>
          <w:sz w:val="24"/>
          <w:szCs w:val="24"/>
        </w:rPr>
        <w:t xml:space="preserve"> Brigg Community Emergency Plan.</w:t>
      </w:r>
      <w:proofErr w:type="gramEnd"/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r>
        <w:rPr>
          <w:sz w:val="24"/>
          <w:szCs w:val="24"/>
        </w:rPr>
        <w:t>The Chair (or in his/her absence the Vice Chair) of this Committees will be automatically appointed to the panel delegated to activate the Brigg Community Emergency Plan.</w:t>
      </w: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9A0B12" w:rsidRPr="0041190F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r w:rsidRPr="0041190F">
        <w:rPr>
          <w:sz w:val="24"/>
          <w:szCs w:val="24"/>
        </w:rPr>
        <w:t>The Chair (or in his/her absence the Vice Chair) of this Committees will attend meetings called which relate to the management and review of the Brigg Community Emergency Plan; and will undertake to participate in any practical exercises organised to evaluate its ability to deliver in practice.</w:t>
      </w:r>
    </w:p>
    <w:p w:rsidR="009A0B12" w:rsidRPr="0041190F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r w:rsidRPr="0041190F">
        <w:rPr>
          <w:sz w:val="24"/>
          <w:szCs w:val="24"/>
        </w:rPr>
        <w:t>Financial management and budget monitoring</w:t>
      </w: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r>
        <w:rPr>
          <w:sz w:val="24"/>
          <w:szCs w:val="24"/>
        </w:rPr>
        <w:t>Policy Formulation and Strategy Development</w:t>
      </w: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Civic and Mayoralty: </w:t>
      </w: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Overall responsibility for the organisation and management of Civic Functions and Events (see powers delegated to the clerk on Page 2)  </w:t>
      </w: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Employment Strategies, policy statements and procedures.</w:t>
      </w:r>
      <w:proofErr w:type="gramEnd"/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r>
        <w:rPr>
          <w:sz w:val="24"/>
          <w:szCs w:val="24"/>
        </w:rPr>
        <w:t>Internal Audit Policy and Procedure</w:t>
      </w: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Media Relations – to include overall management of the Web Site, and preparation of Articles for the Brigg Newsletter.</w:t>
      </w:r>
      <w:proofErr w:type="gramEnd"/>
      <w:r>
        <w:rPr>
          <w:sz w:val="24"/>
          <w:szCs w:val="24"/>
        </w:rPr>
        <w:t xml:space="preserve">  </w:t>
      </w: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r>
        <w:rPr>
          <w:sz w:val="24"/>
          <w:szCs w:val="24"/>
        </w:rPr>
        <w:t>Best Value</w:t>
      </w: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r>
        <w:rPr>
          <w:sz w:val="24"/>
          <w:szCs w:val="24"/>
        </w:rPr>
        <w:t>Quality Status</w:t>
      </w: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r>
        <w:rPr>
          <w:sz w:val="24"/>
          <w:szCs w:val="24"/>
        </w:rPr>
        <w:t>Insurance Portfolio Management</w:t>
      </w: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Liaison with professional bodies or associations (SLCC, ERNLLCA ETC.)</w:t>
      </w:r>
      <w:proofErr w:type="gramEnd"/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9A0B12" w:rsidRPr="006B5EED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r w:rsidRPr="006B5EED">
        <w:rPr>
          <w:sz w:val="24"/>
          <w:szCs w:val="24"/>
        </w:rPr>
        <w:t>To ensure compliance with the Freedom of Information Act</w:t>
      </w:r>
    </w:p>
    <w:p w:rsidR="009A0B12" w:rsidRPr="00A24619" w:rsidRDefault="009A0B12" w:rsidP="009A0B12">
      <w:pPr>
        <w:pBdr>
          <w:bottom w:val="dotted" w:sz="24" w:space="31" w:color="auto"/>
        </w:pBdr>
        <w:rPr>
          <w:b/>
          <w:i/>
          <w:sz w:val="24"/>
          <w:szCs w:val="24"/>
        </w:rPr>
      </w:pP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r>
        <w:rPr>
          <w:sz w:val="24"/>
          <w:szCs w:val="24"/>
        </w:rPr>
        <w:t>Grants</w:t>
      </w:r>
    </w:p>
    <w:p w:rsidR="009A0B12" w:rsidRPr="00813428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proofErr w:type="gramStart"/>
      <w:r w:rsidRPr="00813428">
        <w:rPr>
          <w:sz w:val="24"/>
          <w:szCs w:val="24"/>
        </w:rPr>
        <w:t>Civic Awards / Joseph.</w:t>
      </w:r>
      <w:proofErr w:type="gramEnd"/>
      <w:r w:rsidRPr="00813428">
        <w:rPr>
          <w:sz w:val="24"/>
          <w:szCs w:val="24"/>
        </w:rPr>
        <w:t xml:space="preserve"> </w:t>
      </w:r>
      <w:proofErr w:type="gramStart"/>
      <w:r w:rsidRPr="00813428">
        <w:rPr>
          <w:sz w:val="24"/>
          <w:szCs w:val="24"/>
        </w:rPr>
        <w:t xml:space="preserve">J. </w:t>
      </w:r>
      <w:proofErr w:type="spellStart"/>
      <w:r w:rsidRPr="00813428">
        <w:rPr>
          <w:sz w:val="24"/>
          <w:szCs w:val="24"/>
        </w:rPr>
        <w:t>Magrath</w:t>
      </w:r>
      <w:proofErr w:type="spellEnd"/>
      <w:r w:rsidRPr="00813428">
        <w:rPr>
          <w:sz w:val="24"/>
          <w:szCs w:val="24"/>
        </w:rPr>
        <w:t xml:space="preserve"> O.B.E. Award for Public Voluntary Service.</w:t>
      </w:r>
      <w:proofErr w:type="gramEnd"/>
      <w:r w:rsidRPr="00813428">
        <w:rPr>
          <w:sz w:val="24"/>
          <w:szCs w:val="24"/>
        </w:rPr>
        <w:t xml:space="preserve"> </w:t>
      </w:r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  <w:r w:rsidRPr="00813428">
        <w:rPr>
          <w:sz w:val="24"/>
          <w:szCs w:val="24"/>
        </w:rPr>
        <w:t>Best Kept Garden Compe</w:t>
      </w:r>
      <w:r>
        <w:rPr>
          <w:sz w:val="24"/>
          <w:szCs w:val="24"/>
        </w:rPr>
        <w:t xml:space="preserve">tition. </w:t>
      </w:r>
      <w:proofErr w:type="gramStart"/>
      <w:r w:rsidRPr="00813428">
        <w:rPr>
          <w:sz w:val="24"/>
          <w:szCs w:val="24"/>
        </w:rPr>
        <w:t>Prize Allotment Award.</w:t>
      </w:r>
      <w:proofErr w:type="gramEnd"/>
    </w:p>
    <w:p w:rsidR="009A0B12" w:rsidRDefault="009A0B12" w:rsidP="009A0B12">
      <w:pPr>
        <w:pBdr>
          <w:bottom w:val="dotted" w:sz="24" w:space="31" w:color="auto"/>
        </w:pBdr>
        <w:rPr>
          <w:sz w:val="24"/>
          <w:szCs w:val="24"/>
        </w:rPr>
      </w:pPr>
    </w:p>
    <w:p w:rsidR="00460816" w:rsidRDefault="00460816"/>
    <w:sectPr w:rsidR="00460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2"/>
    <w:rsid w:val="00460816"/>
    <w:rsid w:val="009A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12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12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BTC2</cp:lastModifiedBy>
  <cp:revision>1</cp:revision>
  <dcterms:created xsi:type="dcterms:W3CDTF">2012-03-22T09:36:00Z</dcterms:created>
  <dcterms:modified xsi:type="dcterms:W3CDTF">2012-03-22T09:37:00Z</dcterms:modified>
</cp:coreProperties>
</file>